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92E" w:rsidRDefault="00DB692E" w:rsidP="00DB692E">
      <w:pPr>
        <w:rPr>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DB692E" w:rsidTr="00D10D5D">
        <w:trPr>
          <w:trHeight w:val="295"/>
          <w:jc w:val="center"/>
        </w:trPr>
        <w:tc>
          <w:tcPr>
            <w:tcW w:w="5049" w:type="dxa"/>
            <w:gridSpan w:val="3"/>
          </w:tcPr>
          <w:p w:rsidR="00DB692E" w:rsidRDefault="00DB692E" w:rsidP="00D10D5D">
            <w:pPr>
              <w:rPr>
                <w:rFonts w:ascii="Arial" w:hAnsi="Arial"/>
                <w:b/>
                <w:bCs/>
                <w:noProof w:val="0"/>
                <w:sz w:val="26"/>
                <w:szCs w:val="26"/>
                <w:rtl/>
              </w:rPr>
            </w:pPr>
          </w:p>
        </w:tc>
        <w:tc>
          <w:tcPr>
            <w:tcW w:w="3771" w:type="dxa"/>
          </w:tcPr>
          <w:p w:rsidR="00DB692E" w:rsidRDefault="00DB692E" w:rsidP="00D10D5D">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21</w:t>
                </w:r>
              </w:sdtContent>
            </w:sdt>
          </w:p>
        </w:tc>
      </w:tr>
      <w:tr w:rsidR="00DB692E" w:rsidTr="00D10D5D">
        <w:trPr>
          <w:jc w:val="center"/>
        </w:trPr>
        <w:tc>
          <w:tcPr>
            <w:tcW w:w="743" w:type="dxa"/>
          </w:tcPr>
          <w:p w:rsidR="00DB692E" w:rsidRDefault="00DB692E" w:rsidP="00D10D5D">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DB692E" w:rsidRDefault="00DB692E" w:rsidP="00D10D5D">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לורן אקוקה</w:t>
                </w:r>
              </w:sdtContent>
            </w:sdt>
          </w:p>
          <w:p w:rsidR="00DB692E" w:rsidRDefault="00DB692E" w:rsidP="00D10D5D">
            <w:pPr>
              <w:rPr>
                <w:rFonts w:ascii="Arial" w:hAnsi="Arial" w:cs="FrankRuehl"/>
                <w:sz w:val="28"/>
                <w:szCs w:val="28"/>
                <w:highlight w:val="yellow"/>
              </w:rPr>
            </w:pPr>
          </w:p>
        </w:tc>
      </w:tr>
      <w:tr w:rsidR="00DB692E" w:rsidTr="00D10D5D">
        <w:trPr>
          <w:jc w:val="center"/>
        </w:trPr>
        <w:tc>
          <w:tcPr>
            <w:tcW w:w="3249" w:type="dxa"/>
            <w:gridSpan w:val="2"/>
          </w:tcPr>
          <w:p w:rsidR="00DB692E" w:rsidRDefault="00DB692E" w:rsidP="00D10D5D">
            <w:pPr>
              <w:bidi w:val="0"/>
              <w:jc w:val="right"/>
              <w:rPr>
                <w:rFonts w:ascii="Arial" w:hAnsi="Arial"/>
                <w:b/>
                <w:bCs/>
                <w:noProof w:val="0"/>
                <w:sz w:val="26"/>
                <w:szCs w:val="26"/>
              </w:rPr>
            </w:pPr>
          </w:p>
          <w:sdt>
            <w:sdtPr>
              <w:alias w:val="1180"/>
              <w:tag w:val="1180"/>
              <w:id w:val="1559975633"/>
              <w:text w:multiLine="1"/>
            </w:sdtPr>
            <w:sdtEndPr/>
            <w:sdtContent>
              <w:p w:rsidR="00DB692E" w:rsidRDefault="00DB692E" w:rsidP="00D10D5D">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gridSpan w:val="2"/>
          </w:tcPr>
          <w:p w:rsidR="00DB692E" w:rsidRDefault="00DB692E" w:rsidP="00D10D5D">
            <w:pPr>
              <w:rPr>
                <w:rFonts w:ascii="Arial" w:hAnsi="Arial"/>
                <w:b/>
                <w:bCs/>
                <w:noProof w:val="0"/>
                <w:sz w:val="26"/>
                <w:szCs w:val="26"/>
              </w:rPr>
            </w:pPr>
          </w:p>
          <w:p w:rsidR="00DB692E" w:rsidRDefault="003C66E4" w:rsidP="00DB692E">
            <w:pPr>
              <w:rPr>
                <w:b/>
                <w:bCs/>
                <w:noProof w:val="0"/>
                <w:sz w:val="26"/>
                <w:szCs w:val="26"/>
              </w:rPr>
            </w:pPr>
            <w:sdt>
              <w:sdtPr>
                <w:rPr>
                  <w:rtl/>
                </w:rPr>
                <w:alias w:val="1462"/>
                <w:tag w:val="1462"/>
                <w:id w:val="-568649798"/>
                <w:text w:multiLine="1"/>
              </w:sdtPr>
              <w:sdtEndPr/>
              <w:sdtContent>
                <w:r w:rsidR="00DB692E">
                  <w:rPr>
                    <w:rFonts w:ascii="Arial" w:hAnsi="Arial"/>
                    <w:b/>
                    <w:bCs/>
                    <w:noProof w:val="0"/>
                    <w:sz w:val="26"/>
                    <w:szCs w:val="26"/>
                    <w:rtl/>
                  </w:rPr>
                  <w:t>1</w:t>
                </w:r>
              </w:sdtContent>
            </w:sdt>
            <w:r w:rsidR="00DB692E">
              <w:rPr>
                <w:b/>
                <w:bCs/>
                <w:noProof w:val="0"/>
                <w:sz w:val="26"/>
                <w:szCs w:val="26"/>
                <w:rtl/>
              </w:rPr>
              <w:t xml:space="preserve">. </w:t>
            </w:r>
            <w:r w:rsidR="00DB692E">
              <w:rPr>
                <w:rFonts w:ascii="Arial" w:hAnsi="Arial" w:hint="cs"/>
                <w:b/>
                <w:bCs/>
                <w:noProof w:val="0"/>
                <w:sz w:val="26"/>
                <w:szCs w:val="26"/>
                <w:rtl/>
              </w:rPr>
              <w:t>ל</w:t>
            </w:r>
            <w:sdt>
              <w:sdtPr>
                <w:rPr>
                  <w:rtl/>
                </w:rPr>
                <w:alias w:val="2316"/>
                <w:tag w:val="2316"/>
                <w:id w:val="1341505390"/>
                <w:showingPlcHdr/>
                <w:text w:multiLine="1"/>
              </w:sdtPr>
              <w:sdtEndPr/>
              <w:sdtContent>
                <w:r w:rsidR="00DB692E">
                  <w:rPr>
                    <w:rtl/>
                  </w:rPr>
                  <w:t xml:space="preserve">     </w:t>
                </w:r>
              </w:sdtContent>
            </w:sdt>
          </w:p>
        </w:tc>
      </w:tr>
      <w:tr w:rsidR="00DB692E" w:rsidTr="00D10D5D">
        <w:trPr>
          <w:jc w:val="center"/>
        </w:trPr>
        <w:tc>
          <w:tcPr>
            <w:tcW w:w="8820" w:type="dxa"/>
            <w:gridSpan w:val="4"/>
          </w:tcPr>
          <w:p w:rsidR="00DB692E" w:rsidRDefault="00DB692E" w:rsidP="00D10D5D">
            <w:pPr>
              <w:rPr>
                <w:rFonts w:ascii="Arial" w:hAnsi="Arial"/>
                <w:b/>
                <w:bCs/>
                <w:noProof w:val="0"/>
                <w:sz w:val="26"/>
                <w:szCs w:val="26"/>
                <w:rtl/>
              </w:rPr>
            </w:pPr>
          </w:p>
          <w:p w:rsidR="00DB692E" w:rsidRDefault="00DB692E" w:rsidP="00D10D5D">
            <w:pPr>
              <w:jc w:val="center"/>
              <w:rPr>
                <w:rFonts w:ascii="Arial" w:hAnsi="Arial"/>
                <w:b/>
                <w:bCs/>
                <w:noProof w:val="0"/>
                <w:sz w:val="26"/>
                <w:szCs w:val="26"/>
                <w:rtl/>
              </w:rPr>
            </w:pPr>
            <w:r>
              <w:rPr>
                <w:rFonts w:ascii="Arial" w:hAnsi="Arial"/>
                <w:b/>
                <w:bCs/>
                <w:noProof w:val="0"/>
                <w:sz w:val="26"/>
                <w:szCs w:val="26"/>
                <w:rtl/>
              </w:rPr>
              <w:t>נגד</w:t>
            </w:r>
          </w:p>
          <w:p w:rsidR="00DB692E" w:rsidRDefault="00DB692E" w:rsidP="00D10D5D">
            <w:pPr>
              <w:rPr>
                <w:rFonts w:ascii="Arial" w:hAnsi="Arial"/>
                <w:b/>
                <w:bCs/>
                <w:noProof w:val="0"/>
                <w:sz w:val="26"/>
                <w:szCs w:val="26"/>
              </w:rPr>
            </w:pPr>
          </w:p>
        </w:tc>
      </w:tr>
      <w:tr w:rsidR="00DB692E" w:rsidTr="00D10D5D">
        <w:trPr>
          <w:jc w:val="center"/>
        </w:trPr>
        <w:tc>
          <w:tcPr>
            <w:tcW w:w="3249" w:type="dxa"/>
            <w:gridSpan w:val="2"/>
          </w:tcPr>
          <w:p w:rsidR="00DB692E" w:rsidRDefault="00DB692E" w:rsidP="00D10D5D">
            <w:pPr>
              <w:rPr>
                <w:rFonts w:ascii="Arial" w:hAnsi="Arial"/>
                <w:b/>
                <w:bCs/>
                <w:noProof w:val="0"/>
                <w:sz w:val="26"/>
                <w:szCs w:val="26"/>
                <w:rtl/>
              </w:rPr>
            </w:pPr>
          </w:p>
          <w:p w:rsidR="00DB692E" w:rsidRDefault="003C66E4" w:rsidP="00D10D5D">
            <w:pPr>
              <w:rPr>
                <w:rFonts w:ascii="Arial" w:hAnsi="Arial"/>
                <w:b/>
                <w:bCs/>
                <w:noProof w:val="0"/>
                <w:sz w:val="26"/>
                <w:szCs w:val="26"/>
              </w:rPr>
            </w:pPr>
            <w:sdt>
              <w:sdtPr>
                <w:rPr>
                  <w:rtl/>
                </w:rPr>
                <w:alias w:val="1184"/>
                <w:tag w:val="1184"/>
                <w:id w:val="386307046"/>
                <w:text w:multiLine="1"/>
              </w:sdtPr>
              <w:sdtEndPr/>
              <w:sdtContent>
                <w:r w:rsidR="00DB692E">
                  <w:rPr>
                    <w:rFonts w:ascii="Arial" w:hAnsi="Arial"/>
                    <w:b/>
                    <w:bCs/>
                    <w:noProof w:val="0"/>
                    <w:sz w:val="26"/>
                    <w:szCs w:val="26"/>
                    <w:rtl/>
                  </w:rPr>
                  <w:t>משיבים</w:t>
                </w:r>
              </w:sdtContent>
            </w:sdt>
          </w:p>
        </w:tc>
        <w:tc>
          <w:tcPr>
            <w:tcW w:w="5571" w:type="dxa"/>
            <w:gridSpan w:val="2"/>
          </w:tcPr>
          <w:p w:rsidR="00DB692E" w:rsidRDefault="00DB692E" w:rsidP="00D10D5D">
            <w:pPr>
              <w:rPr>
                <w:rFonts w:ascii="Arial" w:hAnsi="Arial"/>
                <w:b/>
                <w:bCs/>
                <w:noProof w:val="0"/>
                <w:sz w:val="26"/>
                <w:szCs w:val="26"/>
                <w:rtl/>
              </w:rPr>
            </w:pPr>
          </w:p>
          <w:p w:rsidR="00DB692E" w:rsidRDefault="003C66E4" w:rsidP="00DB692E">
            <w:pPr>
              <w:rPr>
                <w:b/>
                <w:bCs/>
                <w:noProof w:val="0"/>
                <w:sz w:val="26"/>
                <w:szCs w:val="26"/>
                <w:rtl/>
              </w:rPr>
            </w:pPr>
            <w:sdt>
              <w:sdtPr>
                <w:rPr>
                  <w:rtl/>
                </w:rPr>
                <w:alias w:val="1571"/>
                <w:tag w:val="1571"/>
                <w:id w:val="1025678926"/>
                <w:text w:multiLine="1"/>
              </w:sdtPr>
              <w:sdtEndPr/>
              <w:sdtContent>
                <w:r w:rsidR="00DB692E">
                  <w:rPr>
                    <w:rFonts w:ascii="Arial" w:hAnsi="Arial"/>
                    <w:b/>
                    <w:bCs/>
                    <w:noProof w:val="0"/>
                    <w:sz w:val="26"/>
                    <w:szCs w:val="26"/>
                    <w:rtl/>
                  </w:rPr>
                  <w:t>1</w:t>
                </w:r>
              </w:sdtContent>
            </w:sdt>
            <w:r w:rsidR="00DB692E">
              <w:rPr>
                <w:rFonts w:ascii="Arial" w:hAnsi="Arial"/>
                <w:b/>
                <w:bCs/>
                <w:noProof w:val="0"/>
                <w:sz w:val="26"/>
                <w:szCs w:val="26"/>
                <w:rtl/>
              </w:rPr>
              <w:t xml:space="preserve">. </w:t>
            </w:r>
            <w:r w:rsidR="00DB692E">
              <w:rPr>
                <w:rFonts w:ascii="Arial" w:hAnsi="Arial" w:hint="cs"/>
                <w:b/>
                <w:bCs/>
                <w:noProof w:val="0"/>
                <w:sz w:val="26"/>
                <w:szCs w:val="26"/>
                <w:rtl/>
              </w:rPr>
              <w:t>פ</w:t>
            </w:r>
          </w:p>
        </w:tc>
      </w:tr>
    </w:tbl>
    <w:p w:rsidR="00DB692E" w:rsidRDefault="00DB692E" w:rsidP="00DB692E"/>
    <w:p w:rsidR="00DB692E" w:rsidRDefault="00DB692E" w:rsidP="00DB692E"/>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B692E" w:rsidTr="00D10D5D">
        <w:trPr>
          <w:jc w:val="center"/>
        </w:trPr>
        <w:tc>
          <w:tcPr>
            <w:tcW w:w="8820" w:type="dxa"/>
          </w:tcPr>
          <w:p w:rsidR="00DB692E" w:rsidRDefault="00DB692E" w:rsidP="00D10D5D">
            <w:pPr>
              <w:bidi w:val="0"/>
              <w:jc w:val="center"/>
              <w:rPr>
                <w:rFonts w:ascii="Arial" w:hAnsi="Arial"/>
                <w:b/>
                <w:bCs/>
                <w:noProof w:val="0"/>
                <w:sz w:val="26"/>
                <w:szCs w:val="26"/>
                <w:u w:val="single"/>
              </w:rPr>
            </w:pPr>
          </w:p>
          <w:p w:rsidR="00DB692E" w:rsidRDefault="00DB692E" w:rsidP="00D10D5D">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DB692E" w:rsidRDefault="00DB692E" w:rsidP="00DB692E">
      <w:pPr>
        <w:spacing w:line="360" w:lineRule="auto"/>
        <w:jc w:val="both"/>
        <w:rPr>
          <w:rFonts w:ascii="Arial" w:hAnsi="Arial"/>
          <w:noProof w:val="0"/>
          <w:rtl/>
        </w:rPr>
      </w:pPr>
    </w:p>
    <w:p w:rsidR="00DB692E" w:rsidRDefault="00DB692E" w:rsidP="00DB692E">
      <w:pPr>
        <w:spacing w:line="360" w:lineRule="auto"/>
        <w:jc w:val="both"/>
        <w:rPr>
          <w:rFonts w:ascii="David" w:hAnsi="David"/>
          <w:noProof w:val="0"/>
          <w:rtl/>
        </w:rPr>
      </w:pPr>
      <w:r>
        <w:rPr>
          <w:rFonts w:ascii="David" w:hAnsi="David"/>
          <w:rtl/>
        </w:rPr>
        <w:t>ביום 9.2.2023 הגישה התובעת בתיק דנן (להלן: "התובעת"/"המבקשת") עמדתה בדבר המשך ניהול ההליכים בתיק כאן ומשהוגשה תגובת הנתבע (להלן: "הנתבע"/"המשיב") וכן גם תשובה של התובעת, להלן החלטתי.</w:t>
      </w:r>
    </w:p>
    <w:p w:rsidR="00DB692E" w:rsidRDefault="00DB692E" w:rsidP="00DB692E">
      <w:pPr>
        <w:spacing w:line="360" w:lineRule="auto"/>
        <w:jc w:val="both"/>
        <w:rPr>
          <w:rFonts w:ascii="David" w:hAnsi="David"/>
          <w:noProof w:val="0"/>
        </w:rPr>
      </w:pPr>
    </w:p>
    <w:p w:rsidR="00DB692E" w:rsidRDefault="00DB692E" w:rsidP="00DB692E">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התיק דנן הוא אחד מהתיקים שמנהלים הצדדים האחד כנגד השניה והאחת כנגד השני. </w:t>
      </w:r>
    </w:p>
    <w:p w:rsidR="00DB692E" w:rsidRDefault="00DB692E" w:rsidP="00DB692E">
      <w:pPr>
        <w:pStyle w:val="a9"/>
        <w:spacing w:line="360" w:lineRule="auto"/>
        <w:jc w:val="both"/>
        <w:rPr>
          <w:rFonts w:ascii="David" w:hAnsi="David" w:cs="David"/>
          <w:sz w:val="24"/>
          <w:szCs w:val="24"/>
        </w:rPr>
      </w:pPr>
    </w:p>
    <w:p w:rsidR="00DB692E" w:rsidRDefault="00DB692E" w:rsidP="00DB692E">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התיק דנן נפתח על ידי התובעת בעניינם של הקטינים ביום </w:t>
      </w:r>
      <w:r>
        <w:rPr>
          <w:rFonts w:ascii="David" w:hAnsi="David" w:cs="David" w:hint="cs"/>
          <w:sz w:val="24"/>
          <w:szCs w:val="24"/>
          <w:rtl/>
        </w:rPr>
        <w:t>....</w:t>
      </w:r>
      <w:r>
        <w:rPr>
          <w:rFonts w:ascii="David" w:hAnsi="David" w:cs="David"/>
          <w:sz w:val="24"/>
          <w:szCs w:val="24"/>
          <w:rtl/>
        </w:rPr>
        <w:t xml:space="preserve"> וברשימת הסעדים ביקשה להורות על החזקתם של הקטינים, ילדיהם המשותפים של הצדדים (להלן: "הקטינים") בידי אמם ולמנות איש מקצוע לקביעת מקום מגורי הקטינים אצל אמם התובעת. כך נוסחו הסעדים בכתב התביעה. ואני אוסיף כי עם בירור טענות הצדדים עלה כי הלכה למעשה מבקשת התובעת לקבוע כי החזקתם של הקטינים וקביעת מקום מגורי הקטינים אצל אמם הוא בקשה להורות כי מקום המגורים של הקטינים יהיה עם אמם </w:t>
      </w:r>
      <w:r>
        <w:rPr>
          <w:rFonts w:ascii="David" w:hAnsi="David" w:cs="David" w:hint="cs"/>
          <w:b/>
          <w:bCs/>
          <w:sz w:val="24"/>
          <w:szCs w:val="24"/>
          <w:u w:val="single"/>
          <w:rtl/>
        </w:rPr>
        <w:t>ב......</w:t>
      </w:r>
      <w:r>
        <w:rPr>
          <w:rFonts w:ascii="David" w:hAnsi="David" w:cs="David"/>
          <w:sz w:val="24"/>
          <w:szCs w:val="24"/>
          <w:rtl/>
        </w:rPr>
        <w:t xml:space="preserve"> היינו לאפשר את הגירת הקטינים ל</w:t>
      </w:r>
      <w:r>
        <w:rPr>
          <w:rFonts w:ascii="David" w:hAnsi="David" w:cs="David" w:hint="cs"/>
          <w:sz w:val="24"/>
          <w:szCs w:val="24"/>
          <w:rtl/>
        </w:rPr>
        <w:t>......</w:t>
      </w:r>
      <w:r>
        <w:rPr>
          <w:rFonts w:ascii="David" w:hAnsi="David" w:cs="David"/>
          <w:sz w:val="24"/>
          <w:szCs w:val="24"/>
          <w:rtl/>
        </w:rPr>
        <w:t xml:space="preserve">. </w:t>
      </w:r>
    </w:p>
    <w:p w:rsidR="00DB692E" w:rsidRDefault="00DB692E" w:rsidP="00DB692E">
      <w:pPr>
        <w:pStyle w:val="a9"/>
        <w:spacing w:line="360" w:lineRule="auto"/>
        <w:jc w:val="both"/>
        <w:rPr>
          <w:rFonts w:ascii="David" w:hAnsi="David" w:cs="David"/>
          <w:sz w:val="24"/>
          <w:szCs w:val="24"/>
        </w:rPr>
      </w:pPr>
    </w:p>
    <w:p w:rsidR="00DB692E" w:rsidRDefault="00DB692E" w:rsidP="00DB692E">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כאמור אין מדובר בהליך הראשון שנפתח בין הצדדים ועסקינן למעשה בתיק החמישי שנפתח כאשר הליכים קודמים נפתחו על ידי המשיב. כך גם בהתייחס להליך הראשוני שבין הצדדים עם הגשת בקשת יישוב סכסוך על ידי המשיב ביום </w:t>
      </w:r>
      <w:r>
        <w:rPr>
          <w:rFonts w:ascii="David" w:hAnsi="David" w:cs="David" w:hint="cs"/>
          <w:sz w:val="24"/>
          <w:szCs w:val="24"/>
          <w:rtl/>
        </w:rPr>
        <w:t>.......</w:t>
      </w:r>
      <w:r>
        <w:rPr>
          <w:rFonts w:ascii="David" w:hAnsi="David" w:cs="David"/>
          <w:sz w:val="24"/>
          <w:szCs w:val="24"/>
          <w:rtl/>
        </w:rPr>
        <w:t xml:space="preserve"> עוד אחזור לעניין זה. </w:t>
      </w:r>
    </w:p>
    <w:p w:rsidR="00DB692E" w:rsidRDefault="00DB692E" w:rsidP="00DB692E">
      <w:pPr>
        <w:pStyle w:val="a9"/>
        <w:jc w:val="both"/>
        <w:rPr>
          <w:rFonts w:ascii="David" w:hAnsi="David" w:cs="David"/>
          <w:sz w:val="24"/>
          <w:szCs w:val="24"/>
        </w:rPr>
      </w:pPr>
    </w:p>
    <w:p w:rsidR="00DB692E" w:rsidRDefault="00DB692E" w:rsidP="00DB692E">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המשיב הגיש תובענה בעניינם של הקטינים, עוד קודם להגשת התובענה בהליך שלפני עתה. עתר הוא למספר סעדים ובין היתר לקביעת זמני השהות של הקטינים עם האם, המבקשת. </w:t>
      </w:r>
    </w:p>
    <w:p w:rsidR="00DB692E" w:rsidRDefault="00DB692E" w:rsidP="00DB692E">
      <w:pPr>
        <w:pStyle w:val="a9"/>
        <w:jc w:val="both"/>
        <w:rPr>
          <w:rFonts w:ascii="David" w:hAnsi="David" w:cs="David"/>
          <w:sz w:val="24"/>
          <w:szCs w:val="24"/>
        </w:rPr>
      </w:pPr>
    </w:p>
    <w:p w:rsidR="00DB692E" w:rsidRDefault="00DB692E" w:rsidP="00DB692E">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בעניינם של הצדדים התקיימו, בכלל התיקים, 6 דיונים עם זאת רק 4 מהם קשורים גם להליך דנן וכולם דיונים מקדמיים. בהמשך לדיון האחרון שהתקיים לפני ביום </w:t>
      </w:r>
      <w:r>
        <w:rPr>
          <w:rFonts w:ascii="David" w:hAnsi="David" w:cs="David" w:hint="cs"/>
          <w:sz w:val="24"/>
          <w:szCs w:val="24"/>
          <w:rtl/>
        </w:rPr>
        <w:t>......</w:t>
      </w:r>
      <w:r>
        <w:rPr>
          <w:rFonts w:ascii="David" w:hAnsi="David" w:cs="David"/>
          <w:sz w:val="24"/>
          <w:szCs w:val="24"/>
          <w:rtl/>
        </w:rPr>
        <w:t xml:space="preserve">, הגישה התובעת </w:t>
      </w:r>
      <w:r>
        <w:rPr>
          <w:rFonts w:ascii="David" w:hAnsi="David" w:cs="David"/>
          <w:sz w:val="24"/>
          <w:szCs w:val="24"/>
          <w:rtl/>
        </w:rPr>
        <w:lastRenderedPageBreak/>
        <w:t xml:space="preserve">עמדתה ולקצר את שנטען על ידה, מבקשת היא את מחיקת ההליך כפוף להגשת תסקיר בדבר זמני שהות וביקורים של הקטינים. </w:t>
      </w:r>
    </w:p>
    <w:p w:rsidR="00DB692E" w:rsidRDefault="00DB692E" w:rsidP="00DB692E">
      <w:pPr>
        <w:pStyle w:val="a9"/>
        <w:rPr>
          <w:rFonts w:ascii="David" w:hAnsi="David" w:cs="David"/>
          <w:sz w:val="24"/>
          <w:szCs w:val="24"/>
        </w:rPr>
      </w:pPr>
    </w:p>
    <w:p w:rsidR="00DB692E" w:rsidRDefault="00DB692E" w:rsidP="00DB692E">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הגם שאני סבורה כי אין לקשור את ענין זמני השהות והמלצות הגורמים הרלוונטיים בהקשר דנן עם התובענה של התובעת, ממילא עתה גם מונחות לפני המלצות העו"ס לסדרי דין. </w:t>
      </w:r>
    </w:p>
    <w:p w:rsidR="00DB692E" w:rsidRDefault="00DB692E" w:rsidP="00DB692E">
      <w:pPr>
        <w:pStyle w:val="a9"/>
        <w:rPr>
          <w:rFonts w:ascii="David" w:hAnsi="David" w:cs="David"/>
          <w:sz w:val="24"/>
          <w:szCs w:val="24"/>
        </w:rPr>
      </w:pPr>
    </w:p>
    <w:p w:rsidR="00DB692E" w:rsidRDefault="00DB692E" w:rsidP="00DB692E">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הנתבע הגיש תגובתו ומבקש הוא את דחיית התביעה ומתן פסק דין בתביעתו בתיק הקשור שמספרו 56044-01-22. כבר כאן אציין כפי שכבר הורתי בעבר, כי מחיקת התובענה של התובעת או דחייתה אינה מצדיקה כי רק בזיקה לכך יינתן מתן פסק דין בתובענה של הנתבע. ממילא תביעתו של הנתבע הוגשה קודם להגשת התביעה כאן ועניינה סעדים שונים וטרם הושלם הבירור וההכרעה בתביעתו.  </w:t>
      </w:r>
    </w:p>
    <w:p w:rsidR="00DB692E" w:rsidRDefault="00DB692E" w:rsidP="00DB692E">
      <w:pPr>
        <w:pStyle w:val="a9"/>
        <w:rPr>
          <w:rFonts w:ascii="David" w:hAnsi="David" w:cs="David"/>
          <w:sz w:val="24"/>
          <w:szCs w:val="24"/>
        </w:rPr>
      </w:pPr>
    </w:p>
    <w:p w:rsidR="00DB692E" w:rsidRDefault="00DB692E" w:rsidP="00DB692E">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הנתבע מבקש את דחיית התובענה של התובעת תוך חיובה בהוצאות ושכר טרחת עו"ד בהתאם להוצאותיו הריאליות וכפי ששולמו בפועל בהתאם לאסמכתאות שצורפו לתגובתו. </w:t>
      </w:r>
    </w:p>
    <w:p w:rsidR="00DB692E" w:rsidRDefault="00DB692E" w:rsidP="00DB692E">
      <w:pPr>
        <w:pStyle w:val="a9"/>
        <w:rPr>
          <w:rFonts w:ascii="David" w:hAnsi="David" w:cs="David"/>
          <w:sz w:val="24"/>
          <w:szCs w:val="24"/>
        </w:rPr>
      </w:pPr>
    </w:p>
    <w:p w:rsidR="00DB692E" w:rsidRDefault="00DB692E" w:rsidP="00DB692E">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שבחנתי את נסיבות ההליכים ובשל הטעמים בגינם מסכימה התובעת לסילוק תביעתה, אני מורה על מחיקתה של התביעה. </w:t>
      </w:r>
    </w:p>
    <w:p w:rsidR="00DB692E" w:rsidRDefault="00DB692E" w:rsidP="00DB692E">
      <w:pPr>
        <w:pStyle w:val="a9"/>
        <w:rPr>
          <w:rFonts w:ascii="David" w:hAnsi="David" w:cs="David"/>
          <w:sz w:val="24"/>
          <w:szCs w:val="24"/>
        </w:rPr>
      </w:pPr>
    </w:p>
    <w:p w:rsidR="00DB692E" w:rsidRDefault="00DB692E" w:rsidP="00DB692E">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ולעניין שאלת החיוב בהוצאות, ראיתי אסמכתאות המשיב ואת תשובתה של המבקשת בהקשר דנן. הנתבע הציג כרטסת התשלומים לבא כוחו ובמסגרת הוצאות שכר הטרחה בשל ניהול ההליכים נגד התובעת ואולם עיון בכרטסת דנן מלמד כי לא נעשתה כל הפרדה במימון ותשלום שכר טרחת עוה"ד בעבור כל הליך וכאמור, בין הצדדים התנהלו ומתנהלים עדיין הליכים נוספים מחוץ לתיק כאן. מעיון במועדי התשלום של שכר הטרחה הרי אין ספק כי חלק מהתשלומים שולמו עבור ניהול הליכים קודמים לתובענה כאן לרבות הליך יישוב סכסוך שנפתח על ידי הנתבע והתובענה שהוגשה על ידו בתיק הקשור. </w:t>
      </w:r>
    </w:p>
    <w:p w:rsidR="00DB692E" w:rsidRDefault="00DB692E" w:rsidP="00DB692E">
      <w:pPr>
        <w:pStyle w:val="a9"/>
        <w:rPr>
          <w:rFonts w:ascii="David" w:hAnsi="David" w:cs="David"/>
          <w:sz w:val="24"/>
          <w:szCs w:val="24"/>
        </w:rPr>
      </w:pPr>
    </w:p>
    <w:p w:rsidR="00DB692E" w:rsidRDefault="00DB692E" w:rsidP="00DB692E">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עם זאת אין אני יכולה להתעלם מהנסיבות בהן אין עוד מקום להמשיך ולנהל את התובענה של התובעת ולקבוע כי דין התביעה להימחק. כך למשל העדר התייצבות של התובעת לדיונים או למלא אחר הוראות המטפל שמונה, גם לבקשתה (וראו לעניין זה שוב רשימת הסעדים בכתב התביעה שלה עצמה). </w:t>
      </w:r>
    </w:p>
    <w:p w:rsidR="00DB692E" w:rsidRDefault="00DB692E" w:rsidP="00DB692E">
      <w:pPr>
        <w:pStyle w:val="a9"/>
        <w:rPr>
          <w:rFonts w:ascii="David" w:hAnsi="David" w:cs="David"/>
          <w:sz w:val="24"/>
          <w:szCs w:val="24"/>
        </w:rPr>
      </w:pPr>
    </w:p>
    <w:p w:rsidR="00DB692E" w:rsidRDefault="00DB692E" w:rsidP="00DB692E">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ולאחר שבחנתי את מלוא טענות הצדדים והאסמכתאות , בנסיבות המלאות של ניהול ההליך בתיק כאן, אני מוצאת לחייב את התובעת בהוצאות הנתבע באופן חלקי בלבד ובעבור הטרחה שנגרמה לו בניהול ההליכים שבהם פתחה התובעת וההוצאות שנגרמו לו כתוצאה מניהול ההליך. ידע צד שנוקט בהליכים ומחייב את בעל הדין שכנגד לנהל את ההליך לרבות כתב הגנה, הגשת כתבי טענות שונים, הכנה והתייצבות לדיונים וכיוב', כי בצד מחיקת התביעה - גם בהסכמתו - יש עלות כספית למניעת הנזק הכלכלי שנגרם לבעל הדין בשל חיובו בניהול </w:t>
      </w:r>
      <w:r>
        <w:rPr>
          <w:rFonts w:ascii="David" w:hAnsi="David" w:cs="David"/>
          <w:sz w:val="24"/>
          <w:szCs w:val="24"/>
          <w:rtl/>
        </w:rPr>
        <w:lastRenderedPageBreak/>
        <w:t xml:space="preserve">ההליך. מכלל ההוצאות שהציג הנתבע בחנתי רק את אלו מיום הגשת התובענה על ידי התובעת ומצאתי לקבלן בשיעור חלקי בלבד בשים לב לניהול ההליכים בין הצדדים במאוחד. </w:t>
      </w:r>
    </w:p>
    <w:p w:rsidR="00DB692E" w:rsidRDefault="00DB692E" w:rsidP="00DB692E">
      <w:pPr>
        <w:pStyle w:val="a9"/>
        <w:rPr>
          <w:rFonts w:ascii="David" w:hAnsi="David" w:cs="David"/>
          <w:sz w:val="24"/>
          <w:szCs w:val="24"/>
        </w:rPr>
      </w:pPr>
    </w:p>
    <w:p w:rsidR="00DB692E" w:rsidRDefault="00DB692E" w:rsidP="00DB692E">
      <w:pPr>
        <w:pStyle w:val="a9"/>
        <w:spacing w:line="360" w:lineRule="auto"/>
        <w:jc w:val="both"/>
        <w:rPr>
          <w:rFonts w:ascii="David" w:hAnsi="David" w:cs="David"/>
          <w:sz w:val="24"/>
          <w:szCs w:val="24"/>
          <w:rtl/>
        </w:rPr>
      </w:pPr>
      <w:r>
        <w:rPr>
          <w:rFonts w:ascii="David" w:hAnsi="David" w:cs="David"/>
          <w:sz w:val="24"/>
          <w:szCs w:val="24"/>
          <w:rtl/>
        </w:rPr>
        <w:t>ויודגש, ההתייחסות היא רק להליך דנן ולא לכלל ההליכים בתיקים הקשורים המתנהלים בין הצדדים. בין הצדדים נותר הליך נוסף ועל אף הטרמינולוגיה בתשובת התובעת, כאילו עסקינן בענישה בשל ניהול הליכים שבהם פתח הנתבע בעצמו או כי מדובר באם שכל שביקשה הוא לפגוש בילדיה (לעניין זה השוו רשימת הסעדים בתביעתה אל מול רשימת הסעדים בתביעת הנתבע), יובהר כי מדובר בבחינת ניהול ההליכים בתיק כאן בלבד.</w:t>
      </w:r>
    </w:p>
    <w:p w:rsidR="00DB692E" w:rsidRDefault="00DB692E" w:rsidP="00DB692E">
      <w:pPr>
        <w:pStyle w:val="a9"/>
        <w:rPr>
          <w:rFonts w:ascii="David" w:hAnsi="David" w:cs="David"/>
          <w:sz w:val="24"/>
          <w:szCs w:val="24"/>
        </w:rPr>
      </w:pPr>
    </w:p>
    <w:p w:rsidR="00DB692E" w:rsidRDefault="00DB692E" w:rsidP="00DB692E">
      <w:pPr>
        <w:pStyle w:val="a9"/>
        <w:numPr>
          <w:ilvl w:val="0"/>
          <w:numId w:val="1"/>
        </w:numPr>
        <w:spacing w:line="360" w:lineRule="auto"/>
        <w:jc w:val="both"/>
        <w:rPr>
          <w:rFonts w:ascii="David" w:hAnsi="David" w:cs="David"/>
          <w:sz w:val="24"/>
          <w:szCs w:val="24"/>
          <w:rtl/>
        </w:rPr>
      </w:pPr>
      <w:r>
        <w:rPr>
          <w:rFonts w:ascii="David" w:hAnsi="David" w:cs="David"/>
          <w:sz w:val="24"/>
          <w:szCs w:val="24"/>
          <w:rtl/>
        </w:rPr>
        <w:t>לפני סיום אציין כי התובעת צירפה אף היא אסמכתאות על נשיאה בהוצאות שכר טרחתה ואולם מקום שעסקינן בתביעתה וזו נמחקת, הרי לא בהוצאותיה עסקינן ושאלת ההוצאות בהליכים בתיק הקשור אליהם מפנה היא, תבחן בתיק הקשור בבוא העת. עת לא מצאתי נחיצות בבחינת הוצאותיה, לא מצאתי לדרוש מהתובעת התייחסות בשאלת מימון הוצאות שכר טרחת עו"ד שלא ייצגו בתיק כאן (תוך שהיא מפנה לנשיאת שכר טרחת עו"ד ב</w:t>
      </w:r>
      <w:r>
        <w:rPr>
          <w:rFonts w:ascii="David" w:hAnsi="David" w:cs="David" w:hint="cs"/>
          <w:sz w:val="24"/>
          <w:szCs w:val="24"/>
          <w:rtl/>
        </w:rPr>
        <w:t>.....</w:t>
      </w:r>
      <w:r>
        <w:rPr>
          <w:rFonts w:ascii="David" w:hAnsi="David" w:cs="David"/>
          <w:sz w:val="24"/>
          <w:szCs w:val="24"/>
          <w:rtl/>
        </w:rPr>
        <w:t xml:space="preserve">) או לדרוש מהתובעת להציג אסמכתאות קריאות מחדש. </w:t>
      </w:r>
    </w:p>
    <w:p w:rsidR="00DB692E" w:rsidRDefault="00DB692E" w:rsidP="00DB692E">
      <w:pPr>
        <w:pStyle w:val="a9"/>
        <w:rPr>
          <w:rFonts w:ascii="David" w:hAnsi="David" w:cs="David"/>
          <w:sz w:val="24"/>
          <w:szCs w:val="24"/>
        </w:rPr>
      </w:pPr>
    </w:p>
    <w:p w:rsidR="00DB692E" w:rsidRDefault="00DB692E" w:rsidP="00DB692E">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לסיכום מורה על מחיקת התביעה וסגירת התיק. </w:t>
      </w:r>
    </w:p>
    <w:p w:rsidR="00DB692E" w:rsidRDefault="00DB692E" w:rsidP="00DB692E">
      <w:pPr>
        <w:pStyle w:val="a9"/>
        <w:rPr>
          <w:rFonts w:ascii="David" w:hAnsi="David" w:cs="David"/>
          <w:sz w:val="24"/>
          <w:szCs w:val="24"/>
        </w:rPr>
      </w:pPr>
    </w:p>
    <w:p w:rsidR="00DB692E" w:rsidRDefault="00DB692E" w:rsidP="00DB692E">
      <w:pPr>
        <w:pStyle w:val="a9"/>
        <w:numPr>
          <w:ilvl w:val="0"/>
          <w:numId w:val="1"/>
        </w:numPr>
        <w:spacing w:line="360" w:lineRule="auto"/>
        <w:jc w:val="both"/>
        <w:rPr>
          <w:rFonts w:ascii="David" w:hAnsi="David" w:cs="David"/>
          <w:sz w:val="24"/>
          <w:szCs w:val="24"/>
          <w:rtl/>
        </w:rPr>
      </w:pPr>
      <w:r>
        <w:rPr>
          <w:rFonts w:ascii="David" w:hAnsi="David" w:cs="David"/>
          <w:sz w:val="24"/>
          <w:szCs w:val="24"/>
          <w:rtl/>
        </w:rPr>
        <w:t>התובעת ת</w:t>
      </w:r>
      <w:r>
        <w:rPr>
          <w:rFonts w:ascii="David" w:hAnsi="David" w:cs="David" w:hint="cs"/>
          <w:sz w:val="24"/>
          <w:szCs w:val="24"/>
          <w:rtl/>
        </w:rPr>
        <w:t>י</w:t>
      </w:r>
      <w:r>
        <w:rPr>
          <w:rFonts w:ascii="David" w:hAnsi="David" w:cs="David"/>
          <w:sz w:val="24"/>
          <w:szCs w:val="24"/>
          <w:rtl/>
        </w:rPr>
        <w:t xml:space="preserve">שא בהוצאות שכר טרחת הנתבע והוצאותיו בסך של 25,000 ₪. </w:t>
      </w:r>
    </w:p>
    <w:p w:rsidR="00DB692E" w:rsidRDefault="00DB692E" w:rsidP="00DB692E">
      <w:pPr>
        <w:pStyle w:val="a9"/>
        <w:rPr>
          <w:rFonts w:ascii="David" w:hAnsi="David" w:cs="David"/>
          <w:sz w:val="24"/>
          <w:szCs w:val="24"/>
        </w:rPr>
      </w:pPr>
    </w:p>
    <w:p w:rsidR="00DB692E" w:rsidRDefault="00DB692E" w:rsidP="00DB692E">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המזכירות תמציא החלטתי לידי הצדדים. </w:t>
      </w:r>
    </w:p>
    <w:p w:rsidR="00DB692E" w:rsidRDefault="00DB692E" w:rsidP="00DB692E">
      <w:pPr>
        <w:spacing w:line="360" w:lineRule="auto"/>
        <w:jc w:val="both"/>
        <w:rPr>
          <w:rFonts w:ascii="Arial" w:hAnsi="Arial"/>
          <w:noProof w:val="0"/>
          <w:rtl/>
        </w:rPr>
      </w:pPr>
    </w:p>
    <w:p w:rsidR="00DB692E" w:rsidRDefault="00DB692E" w:rsidP="00DB692E">
      <w:pPr>
        <w:spacing w:line="360" w:lineRule="auto"/>
        <w:jc w:val="both"/>
        <w:rPr>
          <w:rFonts w:ascii="Arial" w:hAnsi="Arial"/>
          <w:noProof w:val="0"/>
          <w:rtl/>
        </w:rPr>
      </w:pPr>
    </w:p>
    <w:p w:rsidR="00DB692E" w:rsidRDefault="00DB692E" w:rsidP="00DB692E">
      <w:pPr>
        <w:spacing w:line="360" w:lineRule="auto"/>
        <w:jc w:val="both"/>
        <w:rPr>
          <w:rFonts w:ascii="Arial" w:hAnsi="Arial"/>
          <w:noProof w:val="0"/>
          <w:rtl/>
        </w:rPr>
      </w:pPr>
    </w:p>
    <w:p w:rsidR="00DB692E" w:rsidRDefault="00DB692E" w:rsidP="00DB692E">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 אדר תשפ"ג</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13 מרץ 2023</w:t>
          </w:r>
        </w:sdtContent>
      </w:sdt>
      <w:r>
        <w:rPr>
          <w:rFonts w:ascii="Arial" w:hAnsi="Arial"/>
          <w:noProof w:val="0"/>
          <w:rtl/>
        </w:rPr>
        <w:t>, בהעדר הצדדים.</w:t>
      </w:r>
    </w:p>
    <w:p w:rsidR="00DB692E" w:rsidRDefault="00DB692E" w:rsidP="00DB692E">
      <w:pPr>
        <w:spacing w:line="360" w:lineRule="auto"/>
        <w:jc w:val="both"/>
        <w:rPr>
          <w:rFonts w:ascii="Arial" w:hAnsi="Arial"/>
          <w:noProof w:val="0"/>
          <w:rtl/>
        </w:rPr>
      </w:pPr>
    </w:p>
    <w:p w:rsidR="00DB692E" w:rsidRDefault="003C66E4" w:rsidP="00DB692E">
      <w:pPr>
        <w:spacing w:line="360" w:lineRule="auto"/>
        <w:ind w:left="3600" w:firstLine="720"/>
        <w:jc w:val="both"/>
      </w:pPr>
      <w:sdt>
        <w:sdtPr>
          <w:rPr>
            <w:rtl/>
          </w:rPr>
          <w:alias w:val="MergeField"/>
          <w:tag w:val="1237"/>
          <w:id w:val="-857969753"/>
        </w:sdtPr>
        <w:sdtEndPr/>
        <w:sdtContent>
          <w:r w:rsidR="00DB692E">
            <w:drawing>
              <wp:inline distT="0" distB="0" distL="0" distR="0" wp14:anchorId="60F99006" wp14:editId="6117115E">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200150" cy="920750"/>
                        </a:xfrm>
                        <a:prstGeom prst="rect">
                          <a:avLst/>
                        </a:prstGeom>
                      </pic:spPr>
                    </pic:pic>
                  </a:graphicData>
                </a:graphic>
              </wp:inline>
            </w:drawing>
          </w:r>
        </w:sdtContent>
      </w:sdt>
    </w:p>
    <w:p w:rsidR="00DB692E" w:rsidRDefault="00DB692E" w:rsidP="00DB692E">
      <w:pPr>
        <w:spacing w:line="360" w:lineRule="auto"/>
        <w:ind w:left="3600" w:firstLine="720"/>
        <w:jc w:val="both"/>
        <w:rPr>
          <w:rFonts w:ascii="Arial" w:hAnsi="Arial"/>
          <w:noProof w:val="0"/>
          <w:rtl/>
        </w:rPr>
      </w:pPr>
    </w:p>
    <w:p w:rsidR="00DB692E" w:rsidRDefault="00DB692E" w:rsidP="00DB692E">
      <w:pPr>
        <w:spacing w:line="360" w:lineRule="auto"/>
        <w:jc w:val="both"/>
        <w:rPr>
          <w:rFonts w:ascii="Arial" w:hAnsi="Arial"/>
          <w:noProof w:val="0"/>
          <w:rtl/>
        </w:rPr>
      </w:pPr>
    </w:p>
    <w:p w:rsidR="00814753" w:rsidRDefault="00814753"/>
    <w:sectPr w:rsidR="00814753" w:rsidSect="002914D6">
      <w:headerReference w:type="default" r:id="rId8"/>
      <w:footerReference w:type="default" r:id="rId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6E4" w:rsidRDefault="003C66E4" w:rsidP="00DB692E">
      <w:r>
        <w:separator/>
      </w:r>
    </w:p>
  </w:endnote>
  <w:endnote w:type="continuationSeparator" w:id="0">
    <w:p w:rsidR="003C66E4" w:rsidRDefault="003C66E4" w:rsidP="00DB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DB692E">
    <w:pPr>
      <w:pStyle w:val="a5"/>
      <w:jc w:val="center"/>
      <w:rPr>
        <w:rStyle w:val="a8"/>
      </w:rPr>
    </w:pPr>
    <w:r>
      <w:rPr>
        <w:rStyle w:val="a8"/>
      </w:rPr>
      <w:fldChar w:fldCharType="begin"/>
    </w:r>
    <w:r>
      <w:rPr>
        <w:rStyle w:val="a8"/>
      </w:rPr>
      <w:instrText xml:space="preserve"> PAGE </w:instrText>
    </w:r>
    <w:r>
      <w:rPr>
        <w:rStyle w:val="a8"/>
      </w:rPr>
      <w:fldChar w:fldCharType="separate"/>
    </w:r>
    <w:r w:rsidR="00441968">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441968">
      <w:rPr>
        <w:rStyle w:val="a8"/>
        <w:rtl/>
      </w:rPr>
      <w:t>3</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6E4" w:rsidRDefault="003C66E4" w:rsidP="00DB692E">
      <w:r>
        <w:separator/>
      </w:r>
    </w:p>
  </w:footnote>
  <w:footnote w:type="continuationSeparator" w:id="0">
    <w:p w:rsidR="003C66E4" w:rsidRDefault="003C66E4" w:rsidP="00DB6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DB692E">
    <w:pPr>
      <w:pStyle w:val="a3"/>
      <w:jc w:val="center"/>
      <w:rPr>
        <w:rFonts w:cs="FrankRuehl"/>
        <w:noProof w:val="0"/>
        <w:sz w:val="28"/>
        <w:szCs w:val="28"/>
        <w:rtl/>
      </w:rPr>
    </w:pPr>
    <w:r>
      <w:rPr>
        <w:rFonts w:cs="FrankRuehl"/>
        <w:noProof w:val="0"/>
        <w:sz w:val="28"/>
        <w:szCs w:val="28"/>
      </w:rPr>
      <w:t>k</w:t>
    </w:r>
    <w:r>
      <w:rPr>
        <w:rFonts w:cs="FrankRuehl"/>
        <w:sz w:val="28"/>
        <w:szCs w:val="28"/>
      </w:rPr>
      <w:drawing>
        <wp:inline distT="0" distB="0" distL="0" distR="0" wp14:anchorId="3DD67690" wp14:editId="678F487A">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DB692E">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3C66E4">
          <w:pPr>
            <w:rPr>
              <w:b/>
              <w:bCs/>
              <w:noProof w:val="0"/>
              <w:sz w:val="26"/>
              <w:szCs w:val="26"/>
              <w:rtl/>
            </w:rPr>
          </w:pPr>
        </w:p>
      </w:tc>
      <w:tc>
        <w:tcPr>
          <w:tcW w:w="3674" w:type="dxa"/>
        </w:tcPr>
        <w:p w:rsidR="002914D6" w:rsidRDefault="003C66E4">
          <w:pPr>
            <w:pStyle w:val="a3"/>
            <w:jc w:val="right"/>
            <w:rPr>
              <w:b/>
              <w:bCs/>
              <w:noProof w:val="0"/>
              <w:sz w:val="26"/>
              <w:szCs w:val="26"/>
              <w:rtl/>
            </w:rPr>
          </w:pPr>
        </w:p>
      </w:tc>
    </w:tr>
    <w:tr w:rsidR="002914D6">
      <w:trPr>
        <w:trHeight w:val="337"/>
        <w:jc w:val="center"/>
      </w:trPr>
      <w:tc>
        <w:tcPr>
          <w:tcW w:w="8721" w:type="dxa"/>
          <w:gridSpan w:val="2"/>
        </w:tcPr>
        <w:p w:rsidR="002914D6" w:rsidRDefault="003C66E4" w:rsidP="00DB692E">
          <w:pPr>
            <w:rPr>
              <w:b/>
              <w:bCs/>
              <w:noProof w:val="0"/>
              <w:sz w:val="26"/>
              <w:szCs w:val="26"/>
              <w:rtl/>
            </w:rPr>
          </w:pPr>
          <w:sdt>
            <w:sdtPr>
              <w:rPr>
                <w:rtl/>
              </w:rPr>
              <w:alias w:val="1170"/>
              <w:tag w:val="1170"/>
              <w:id w:val="922609164"/>
              <w:text w:multiLine="1"/>
            </w:sdtPr>
            <w:sdtEndPr/>
            <w:sdtContent>
              <w:r w:rsidR="00DB692E">
                <w:rPr>
                  <w:b/>
                  <w:bCs/>
                  <w:noProof w:val="0"/>
                  <w:sz w:val="26"/>
                  <w:szCs w:val="26"/>
                  <w:rtl/>
                </w:rPr>
                <w:t>תמ"ש</w:t>
              </w:r>
            </w:sdtContent>
          </w:sdt>
          <w:r w:rsidR="00DB692E">
            <w:rPr>
              <w:b/>
              <w:bCs/>
              <w:noProof w:val="0"/>
              <w:sz w:val="26"/>
              <w:szCs w:val="26"/>
              <w:rtl/>
            </w:rPr>
            <w:t xml:space="preserve"> </w:t>
          </w:r>
          <w:sdt>
            <w:sdtPr>
              <w:rPr>
                <w:rtl/>
              </w:rPr>
              <w:alias w:val="1171"/>
              <w:tag w:val="1171"/>
              <w:id w:val="-1035651213"/>
              <w:text w:multiLine="1"/>
            </w:sdtPr>
            <w:sdtEndPr/>
            <w:sdtContent>
              <w:r w:rsidR="00DB692E">
                <w:rPr>
                  <w:b/>
                  <w:bCs/>
                  <w:noProof w:val="0"/>
                  <w:sz w:val="26"/>
                  <w:szCs w:val="26"/>
                  <w:rtl/>
                </w:rPr>
                <w:t>8486-02-22</w:t>
              </w:r>
            </w:sdtContent>
          </w:sdt>
          <w:r w:rsidR="00DB692E">
            <w:rPr>
              <w:b/>
              <w:bCs/>
              <w:noProof w:val="0"/>
              <w:sz w:val="26"/>
              <w:szCs w:val="26"/>
              <w:rtl/>
            </w:rPr>
            <w:t xml:space="preserve"> </w:t>
          </w:r>
          <w:sdt>
            <w:sdtPr>
              <w:rPr>
                <w:rtl/>
              </w:rPr>
              <w:alias w:val="1172"/>
              <w:tag w:val="1172"/>
              <w:id w:val="-1735694493"/>
              <w:text w:multiLine="1"/>
            </w:sdtPr>
            <w:sdtEndPr/>
            <w:sdtContent>
              <w:r w:rsidR="00DB692E">
                <w:rPr>
                  <w:rFonts w:hint="cs"/>
                  <w:b/>
                  <w:bCs/>
                  <w:noProof w:val="0"/>
                  <w:sz w:val="26"/>
                  <w:szCs w:val="26"/>
                  <w:rtl/>
                </w:rPr>
                <w:t xml:space="preserve">ל. נ' פ. </w:t>
              </w:r>
            </w:sdtContent>
          </w:sdt>
        </w:p>
        <w:p w:rsidR="002914D6" w:rsidRDefault="003C66E4">
          <w:pPr>
            <w:rPr>
              <w:rtl/>
            </w:rPr>
          </w:pPr>
        </w:p>
      </w:tc>
    </w:tr>
  </w:tbl>
  <w:p w:rsidR="002914D6" w:rsidRDefault="00DB692E">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0353E2"/>
    <w:multiLevelType w:val="hybridMultilevel"/>
    <w:tmpl w:val="039CD0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92E"/>
    <w:rsid w:val="003C66E4"/>
    <w:rsid w:val="00441968"/>
    <w:rsid w:val="0078469F"/>
    <w:rsid w:val="00814753"/>
    <w:rsid w:val="00C9287C"/>
    <w:rsid w:val="00DB692E"/>
    <w:rsid w:val="00E04CEC"/>
    <w:rsid w:val="00EF6F9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012E23D-9CF2-4259-A595-404F7CA0D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92E"/>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B692E"/>
    <w:pPr>
      <w:tabs>
        <w:tab w:val="center" w:pos="4153"/>
        <w:tab w:val="right" w:pos="8306"/>
      </w:tabs>
    </w:pPr>
  </w:style>
  <w:style w:type="character" w:customStyle="1" w:styleId="a4">
    <w:name w:val="כותרת עליונה תו"/>
    <w:basedOn w:val="a0"/>
    <w:link w:val="a3"/>
    <w:rsid w:val="00DB692E"/>
    <w:rPr>
      <w:rFonts w:ascii="Times New Roman" w:eastAsia="Times New Roman" w:hAnsi="Times New Roman" w:cs="David"/>
      <w:noProof/>
      <w:sz w:val="24"/>
      <w:szCs w:val="24"/>
    </w:rPr>
  </w:style>
  <w:style w:type="paragraph" w:styleId="a5">
    <w:name w:val="footer"/>
    <w:basedOn w:val="a"/>
    <w:link w:val="a6"/>
    <w:rsid w:val="00DB692E"/>
    <w:pPr>
      <w:tabs>
        <w:tab w:val="center" w:pos="4153"/>
        <w:tab w:val="right" w:pos="8306"/>
      </w:tabs>
    </w:pPr>
  </w:style>
  <w:style w:type="character" w:customStyle="1" w:styleId="a6">
    <w:name w:val="כותרת תחתונה תו"/>
    <w:basedOn w:val="a0"/>
    <w:link w:val="a5"/>
    <w:rsid w:val="00DB692E"/>
    <w:rPr>
      <w:rFonts w:ascii="Times New Roman" w:eastAsia="Times New Roman" w:hAnsi="Times New Roman" w:cs="David"/>
      <w:noProof/>
      <w:sz w:val="24"/>
      <w:szCs w:val="24"/>
    </w:rPr>
  </w:style>
  <w:style w:type="table" w:styleId="a7">
    <w:name w:val="Table Grid"/>
    <w:basedOn w:val="a1"/>
    <w:rsid w:val="00DB692E"/>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DB692E"/>
  </w:style>
  <w:style w:type="paragraph" w:styleId="a9">
    <w:name w:val="List Paragraph"/>
    <w:basedOn w:val="a"/>
    <w:uiPriority w:val="34"/>
    <w:qFormat/>
    <w:rsid w:val="00DB692E"/>
    <w:pPr>
      <w:spacing w:after="160" w:line="256" w:lineRule="auto"/>
      <w:ind w:left="720"/>
      <w:contextualSpacing/>
    </w:pPr>
    <w:rPr>
      <w:rFonts w:asciiTheme="minorHAnsi" w:eastAsiaTheme="minorHAnsi" w:hAnsiTheme="minorHAnsi" w:cstheme="minorBidi"/>
      <w:noProof w:val="0"/>
      <w:sz w:val="22"/>
      <w:szCs w:val="22"/>
    </w:rPr>
  </w:style>
  <w:style w:type="character" w:styleId="aa">
    <w:name w:val="line number"/>
    <w:basedOn w:val="a0"/>
    <w:uiPriority w:val="99"/>
    <w:semiHidden/>
    <w:unhideWhenUsed/>
    <w:rsid w:val="00DB6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778</Words>
  <Characters>3894</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אסתר טטרואשילי</cp:lastModifiedBy>
  <cp:revision>2</cp:revision>
  <dcterms:created xsi:type="dcterms:W3CDTF">2023-05-04T10:54:00Z</dcterms:created>
  <dcterms:modified xsi:type="dcterms:W3CDTF">2023-05-04T10:54:00Z</dcterms:modified>
</cp:coreProperties>
</file>